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00C61" w14:textId="77777777" w:rsidR="007E3798" w:rsidRPr="000E0B7F" w:rsidRDefault="007E3798" w:rsidP="007E3798">
      <w:pPr>
        <w:rPr>
          <w:rFonts w:ascii="Arial" w:eastAsia="Arial" w:hAnsi="Arial" w:cs="Arial"/>
          <w:lang w:val="en-GB"/>
        </w:rPr>
      </w:pPr>
      <w:bookmarkStart w:id="0" w:name="OLE_LINK1"/>
      <w:r w:rsidRPr="000E0B7F">
        <w:rPr>
          <w:rFonts w:ascii="Arial" w:hAnsi="Arial"/>
          <w:sz w:val="40"/>
          <w:szCs w:val="40"/>
          <w:lang w:val="en-GB"/>
        </w:rPr>
        <w:t>Pierre-Laurent Aimard</w:t>
      </w:r>
      <w:r w:rsidRPr="000E0B7F">
        <w:rPr>
          <w:rFonts w:ascii="Arial Unicode MS" w:eastAsia="Arial Unicode MS" w:hAnsi="Arial Unicode MS" w:cs="Arial Unicode MS"/>
          <w:lang w:val="en-GB"/>
        </w:rPr>
        <w:br/>
      </w:r>
      <w:r w:rsidRPr="000E0B7F">
        <w:rPr>
          <w:rFonts w:ascii="Arial" w:hAnsi="Arial"/>
          <w:sz w:val="34"/>
          <w:szCs w:val="34"/>
          <w:lang w:val="en-GB"/>
        </w:rPr>
        <w:t>Piano</w:t>
      </w:r>
    </w:p>
    <w:p w14:paraId="4E67D70E" w14:textId="77777777" w:rsidR="007E3798" w:rsidRPr="000E0B7F" w:rsidRDefault="007E3798" w:rsidP="007E3798">
      <w:pPr>
        <w:ind w:right="26"/>
        <w:rPr>
          <w:rFonts w:ascii="Arial" w:eastAsia="Arial" w:hAnsi="Arial" w:cs="Arial"/>
          <w:sz w:val="34"/>
          <w:szCs w:val="34"/>
          <w:lang w:val="en-GB"/>
        </w:rPr>
      </w:pPr>
    </w:p>
    <w:bookmarkEnd w:id="0"/>
    <w:p w14:paraId="11F59FB9" w14:textId="43297CAA" w:rsidR="007E3798" w:rsidRDefault="007E3798" w:rsidP="007E3798">
      <w:pPr>
        <w:spacing w:line="276" w:lineRule="auto"/>
        <w:rPr>
          <w:rFonts w:ascii="Arial" w:hAnsi="Arial" w:cs="Arial"/>
          <w:sz w:val="20"/>
          <w:szCs w:val="20"/>
          <w:shd w:val="clear" w:color="auto" w:fill="FFFFFF"/>
        </w:rPr>
      </w:pPr>
      <w:r w:rsidRPr="000E0B7F">
        <w:rPr>
          <w:rFonts w:ascii="Arial" w:hAnsi="Arial"/>
          <w:sz w:val="20"/>
          <w:szCs w:val="20"/>
          <w:lang w:val="en-GB"/>
        </w:rPr>
        <w:t xml:space="preserve">“A brilliant musician and an extraordinary visionary” </w:t>
      </w:r>
      <w:r w:rsidRPr="000E0B7F">
        <w:rPr>
          <w:rFonts w:ascii="Arial" w:hAnsi="Arial"/>
          <w:i/>
          <w:iCs/>
          <w:sz w:val="20"/>
          <w:szCs w:val="20"/>
          <w:lang w:val="en-GB"/>
        </w:rPr>
        <w:t>(Wall Street Journal)</w:t>
      </w:r>
      <w:r w:rsidRPr="000E0B7F">
        <w:rPr>
          <w:rFonts w:ascii="Arial" w:hAnsi="Arial"/>
          <w:sz w:val="20"/>
          <w:szCs w:val="20"/>
          <w:lang w:val="en-GB"/>
        </w:rPr>
        <w:t xml:space="preserve">, Pierre-Laurent Aimard is </w:t>
      </w:r>
      <w:r w:rsidR="00AE0EE6" w:rsidRPr="00943D29">
        <w:rPr>
          <w:rFonts w:ascii="Arial" w:hAnsi="Arial" w:cs="Arial"/>
          <w:sz w:val="20"/>
          <w:szCs w:val="20"/>
          <w:shd w:val="clear" w:color="auto" w:fill="FFFFFF"/>
        </w:rPr>
        <w:t>widely acclaimed as an exceptional interpreter of the core piano repertoire and a leading figure in the music of our time.</w:t>
      </w:r>
    </w:p>
    <w:p w14:paraId="2FFB8FE1" w14:textId="77777777" w:rsidR="00AE0EE6" w:rsidRDefault="00AE0EE6" w:rsidP="007E3798">
      <w:pPr>
        <w:spacing w:line="276" w:lineRule="auto"/>
        <w:rPr>
          <w:rFonts w:ascii="Arial" w:hAnsi="Arial" w:cs="Arial"/>
          <w:sz w:val="20"/>
          <w:szCs w:val="20"/>
          <w:shd w:val="clear" w:color="auto" w:fill="FFFFFF"/>
        </w:rPr>
      </w:pPr>
    </w:p>
    <w:p w14:paraId="0E5D8429" w14:textId="475FF21E" w:rsidR="007E3798" w:rsidRPr="00AE0EE6" w:rsidRDefault="00AE0EE6" w:rsidP="007E3798">
      <w:pPr>
        <w:spacing w:line="276" w:lineRule="auto"/>
        <w:rPr>
          <w:rFonts w:ascii="Arial" w:hAnsi="Arial" w:cs="Arial"/>
          <w:sz w:val="20"/>
          <w:szCs w:val="20"/>
          <w:shd w:val="clear" w:color="auto" w:fill="FFFFFF"/>
          <w:lang w:val="en-GB"/>
        </w:rPr>
      </w:pPr>
      <w:r w:rsidRPr="00AE0EE6">
        <w:rPr>
          <w:rFonts w:ascii="Arial" w:hAnsi="Arial" w:cs="Arial"/>
          <w:sz w:val="20"/>
          <w:szCs w:val="20"/>
          <w:shd w:val="clear" w:color="auto" w:fill="FFFFFF"/>
          <w:lang w:val="en-GB"/>
        </w:rPr>
        <w:t xml:space="preserve">Highlights of the 2026/27 season include Aimard’s residency as Artist in Focus at Amsterdam’s </w:t>
      </w:r>
      <w:proofErr w:type="spellStart"/>
      <w:r w:rsidRPr="00AE0EE6">
        <w:rPr>
          <w:rFonts w:ascii="Arial" w:hAnsi="Arial" w:cs="Arial"/>
          <w:sz w:val="20"/>
          <w:szCs w:val="20"/>
          <w:shd w:val="clear" w:color="auto" w:fill="FFFFFF"/>
          <w:lang w:val="en-GB"/>
        </w:rPr>
        <w:t>Muziekgebouw</w:t>
      </w:r>
      <w:proofErr w:type="spellEnd"/>
      <w:r w:rsidRPr="00AE0EE6">
        <w:rPr>
          <w:rFonts w:ascii="Arial" w:hAnsi="Arial" w:cs="Arial"/>
          <w:sz w:val="20"/>
          <w:szCs w:val="20"/>
          <w:shd w:val="clear" w:color="auto" w:fill="FFFFFF"/>
          <w:lang w:val="en-GB"/>
        </w:rPr>
        <w:t xml:space="preserve">, opening with the Dutch premieres of Thomas Lacote’s </w:t>
      </w:r>
      <w:r w:rsidRPr="00AE0EE6">
        <w:rPr>
          <w:rFonts w:ascii="Arial" w:hAnsi="Arial" w:cs="Arial"/>
          <w:i/>
          <w:iCs/>
          <w:sz w:val="20"/>
          <w:szCs w:val="20"/>
          <w:shd w:val="clear" w:color="auto" w:fill="FFFFFF"/>
          <w:lang w:val="en-GB"/>
        </w:rPr>
        <w:t xml:space="preserve">Cahier de </w:t>
      </w:r>
      <w:proofErr w:type="spellStart"/>
      <w:r w:rsidRPr="00AE0EE6">
        <w:rPr>
          <w:rFonts w:ascii="Arial" w:hAnsi="Arial" w:cs="Arial"/>
          <w:i/>
          <w:iCs/>
          <w:sz w:val="20"/>
          <w:szCs w:val="20"/>
          <w:shd w:val="clear" w:color="auto" w:fill="FFFFFF"/>
          <w:lang w:val="en-GB"/>
        </w:rPr>
        <w:t>Filigranes</w:t>
      </w:r>
      <w:proofErr w:type="spellEnd"/>
      <w:r w:rsidRPr="00AE0EE6">
        <w:rPr>
          <w:rFonts w:ascii="Arial" w:hAnsi="Arial" w:cs="Arial"/>
          <w:sz w:val="20"/>
          <w:szCs w:val="20"/>
          <w:shd w:val="clear" w:color="auto" w:fill="FFFFFF"/>
          <w:lang w:val="en-GB"/>
        </w:rPr>
        <w:t xml:space="preserve"> and George Benjamin’s </w:t>
      </w:r>
      <w:r w:rsidRPr="00AE0EE6">
        <w:rPr>
          <w:rFonts w:ascii="Arial" w:hAnsi="Arial" w:cs="Arial"/>
          <w:i/>
          <w:iCs/>
          <w:sz w:val="20"/>
          <w:szCs w:val="20"/>
          <w:shd w:val="clear" w:color="auto" w:fill="FFFFFF"/>
          <w:lang w:val="en-GB"/>
        </w:rPr>
        <w:t>Divisions</w:t>
      </w:r>
      <w:r w:rsidRPr="00AE0EE6">
        <w:rPr>
          <w:rFonts w:ascii="Arial" w:hAnsi="Arial" w:cs="Arial"/>
          <w:sz w:val="20"/>
          <w:szCs w:val="20"/>
          <w:shd w:val="clear" w:color="auto" w:fill="FFFFFF"/>
          <w:lang w:val="en-GB"/>
        </w:rPr>
        <w:t xml:space="preserve"> for four hands</w:t>
      </w:r>
      <w:r>
        <w:rPr>
          <w:rFonts w:ascii="Arial" w:hAnsi="Arial" w:cs="Arial"/>
          <w:sz w:val="20"/>
          <w:szCs w:val="20"/>
          <w:shd w:val="clear" w:color="auto" w:fill="FFFFFF"/>
          <w:lang w:val="en-GB"/>
        </w:rPr>
        <w:t xml:space="preserve"> – </w:t>
      </w:r>
      <w:r w:rsidRPr="00AE0EE6">
        <w:rPr>
          <w:rFonts w:ascii="Arial" w:hAnsi="Arial" w:cs="Arial"/>
          <w:sz w:val="20"/>
          <w:szCs w:val="20"/>
          <w:shd w:val="clear" w:color="auto" w:fill="FFFFFF"/>
          <w:lang w:val="en-GB"/>
        </w:rPr>
        <w:t xml:space="preserve">a work he has performed with the composer in Berlin, London and New York, and will also present in Munich, Washington, D.C., and Montreal. The Amsterdam residency also brings Aimard together with longstanding collaborator Thomas Zehetmair and Ensemble </w:t>
      </w:r>
      <w:proofErr w:type="spellStart"/>
      <w:r w:rsidRPr="00AE0EE6">
        <w:rPr>
          <w:rFonts w:ascii="Arial" w:hAnsi="Arial" w:cs="Arial"/>
          <w:sz w:val="20"/>
          <w:szCs w:val="20"/>
          <w:shd w:val="clear" w:color="auto" w:fill="FFFFFF"/>
          <w:lang w:val="en-GB"/>
        </w:rPr>
        <w:t>Musikfabrik</w:t>
      </w:r>
      <w:proofErr w:type="spellEnd"/>
      <w:r w:rsidRPr="00AE0EE6">
        <w:rPr>
          <w:rFonts w:ascii="Arial" w:hAnsi="Arial" w:cs="Arial"/>
          <w:sz w:val="20"/>
          <w:szCs w:val="20"/>
          <w:shd w:val="clear" w:color="auto" w:fill="FFFFFF"/>
          <w:lang w:val="en-GB"/>
        </w:rPr>
        <w:t>.</w:t>
      </w:r>
    </w:p>
    <w:p w14:paraId="5BB6034C" w14:textId="77777777" w:rsidR="00486AB2" w:rsidRDefault="00486AB2" w:rsidP="007E3798">
      <w:pPr>
        <w:spacing w:line="276" w:lineRule="auto"/>
        <w:rPr>
          <w:rFonts w:ascii="Arial" w:hAnsi="Arial"/>
          <w:sz w:val="20"/>
          <w:szCs w:val="20"/>
          <w:lang w:val="en-GB"/>
        </w:rPr>
      </w:pPr>
    </w:p>
    <w:p w14:paraId="6E429CDC" w14:textId="6AFD38DB" w:rsidR="00AE0EE6" w:rsidRDefault="00486AB2" w:rsidP="00486AB2">
      <w:pPr>
        <w:spacing w:line="276" w:lineRule="auto"/>
        <w:rPr>
          <w:rFonts w:ascii="Arial" w:hAnsi="Arial"/>
          <w:sz w:val="20"/>
          <w:szCs w:val="20"/>
          <w:lang w:val="en-GB"/>
        </w:rPr>
      </w:pPr>
      <w:r w:rsidRPr="00486AB2">
        <w:rPr>
          <w:rFonts w:ascii="Arial" w:hAnsi="Arial"/>
          <w:sz w:val="20"/>
          <w:szCs w:val="20"/>
          <w:lang w:val="en-GB"/>
        </w:rPr>
        <w:t>With orchestra, Aimard appears as soloist with Turku Philharmonic Orchestra</w:t>
      </w:r>
      <w:r w:rsidR="00AE0EE6">
        <w:rPr>
          <w:rFonts w:ascii="Arial" w:hAnsi="Arial"/>
          <w:sz w:val="20"/>
          <w:szCs w:val="20"/>
          <w:lang w:val="en-GB"/>
        </w:rPr>
        <w:t xml:space="preserve">, </w:t>
      </w:r>
      <w:r w:rsidRPr="00486AB2">
        <w:rPr>
          <w:rFonts w:ascii="Arial" w:hAnsi="Arial"/>
          <w:sz w:val="20"/>
          <w:szCs w:val="20"/>
          <w:lang w:val="en-GB"/>
        </w:rPr>
        <w:t>Orchestre Philharmonique de Radio France, Swedish Radio Symphony Orchestra and Belgian National Orchestra</w:t>
      </w:r>
      <w:r w:rsidR="00AE0EE6">
        <w:rPr>
          <w:rFonts w:ascii="Arial" w:hAnsi="Arial"/>
          <w:sz w:val="20"/>
          <w:szCs w:val="20"/>
          <w:lang w:val="en-GB"/>
        </w:rPr>
        <w:t xml:space="preserve">. </w:t>
      </w:r>
      <w:r w:rsidR="00AE0EE6" w:rsidRPr="00AE0EE6">
        <w:rPr>
          <w:rFonts w:ascii="Arial" w:hAnsi="Arial"/>
          <w:sz w:val="20"/>
          <w:szCs w:val="20"/>
          <w:lang w:val="en-GB"/>
        </w:rPr>
        <w:t xml:space="preserve">He returns to leading German orchestras including the </w:t>
      </w:r>
      <w:proofErr w:type="spellStart"/>
      <w:r w:rsidR="00AE0EE6" w:rsidRPr="00AE0EE6">
        <w:rPr>
          <w:rFonts w:ascii="Arial" w:hAnsi="Arial"/>
          <w:sz w:val="20"/>
          <w:szCs w:val="20"/>
          <w:lang w:val="en-GB"/>
        </w:rPr>
        <w:t>Konzerthausorchester</w:t>
      </w:r>
      <w:proofErr w:type="spellEnd"/>
      <w:r w:rsidR="00AE0EE6" w:rsidRPr="00AE0EE6">
        <w:rPr>
          <w:rFonts w:ascii="Arial" w:hAnsi="Arial"/>
          <w:sz w:val="20"/>
          <w:szCs w:val="20"/>
          <w:lang w:val="en-GB"/>
        </w:rPr>
        <w:t xml:space="preserve"> Berlin, Bavarian Radio Symphony Orchestra and </w:t>
      </w:r>
      <w:proofErr w:type="spellStart"/>
      <w:r w:rsidR="00AE0EE6" w:rsidRPr="00AE0EE6">
        <w:rPr>
          <w:rFonts w:ascii="Arial" w:hAnsi="Arial"/>
          <w:sz w:val="20"/>
          <w:szCs w:val="20"/>
          <w:lang w:val="en-GB"/>
        </w:rPr>
        <w:t>Gürzenich-Orchester</w:t>
      </w:r>
      <w:proofErr w:type="spellEnd"/>
      <w:r w:rsidR="00AE0EE6" w:rsidRPr="00AE0EE6">
        <w:rPr>
          <w:rFonts w:ascii="Arial" w:hAnsi="Arial"/>
          <w:sz w:val="20"/>
          <w:szCs w:val="20"/>
          <w:lang w:val="en-GB"/>
        </w:rPr>
        <w:t xml:space="preserve"> Köln, and performs Messiaen’s </w:t>
      </w:r>
      <w:proofErr w:type="spellStart"/>
      <w:r w:rsidR="00AE0EE6" w:rsidRPr="00AE0EE6">
        <w:rPr>
          <w:rFonts w:ascii="Arial" w:hAnsi="Arial"/>
          <w:i/>
          <w:iCs/>
          <w:sz w:val="20"/>
          <w:szCs w:val="20"/>
          <w:lang w:val="en-GB"/>
        </w:rPr>
        <w:t>Turangalîla</w:t>
      </w:r>
      <w:proofErr w:type="spellEnd"/>
      <w:r w:rsidR="00AE0EE6" w:rsidRPr="00AE0EE6">
        <w:rPr>
          <w:rFonts w:ascii="Arial" w:hAnsi="Arial"/>
          <w:i/>
          <w:iCs/>
          <w:sz w:val="20"/>
          <w:szCs w:val="20"/>
          <w:lang w:val="en-GB"/>
        </w:rPr>
        <w:t>-Symphonie</w:t>
      </w:r>
      <w:r w:rsidR="00AE0EE6" w:rsidRPr="00AE0EE6">
        <w:rPr>
          <w:rFonts w:ascii="Arial" w:hAnsi="Arial"/>
          <w:sz w:val="20"/>
          <w:szCs w:val="20"/>
          <w:lang w:val="en-GB"/>
        </w:rPr>
        <w:t xml:space="preserve"> with the Orchestra of Deutsche Oper Berlin and the hr-</w:t>
      </w:r>
      <w:proofErr w:type="spellStart"/>
      <w:r w:rsidR="00AE0EE6" w:rsidRPr="00AE0EE6">
        <w:rPr>
          <w:rFonts w:ascii="Arial" w:hAnsi="Arial"/>
          <w:sz w:val="20"/>
          <w:szCs w:val="20"/>
          <w:lang w:val="en-GB"/>
        </w:rPr>
        <w:t>Sinfonieorchester</w:t>
      </w:r>
      <w:proofErr w:type="spellEnd"/>
      <w:r w:rsidR="00AE0EE6" w:rsidRPr="00AE0EE6">
        <w:rPr>
          <w:rFonts w:ascii="Arial" w:hAnsi="Arial"/>
          <w:sz w:val="20"/>
          <w:szCs w:val="20"/>
          <w:lang w:val="en-GB"/>
        </w:rPr>
        <w:t xml:space="preserve"> Frankfurt. Chamber orchestra engagements include</w:t>
      </w:r>
      <w:r w:rsidR="00AE0EE6">
        <w:rPr>
          <w:rFonts w:ascii="Arial" w:hAnsi="Arial"/>
          <w:sz w:val="20"/>
          <w:szCs w:val="20"/>
          <w:lang w:val="en-GB"/>
        </w:rPr>
        <w:t xml:space="preserve"> </w:t>
      </w:r>
      <w:r w:rsidR="00AE0EE6" w:rsidRPr="00AE0EE6">
        <w:rPr>
          <w:rFonts w:ascii="Arial" w:hAnsi="Arial"/>
          <w:sz w:val="20"/>
          <w:szCs w:val="20"/>
          <w:lang w:val="en-GB"/>
        </w:rPr>
        <w:t>Kammerorchester Basel, Kammerakademie Potsdam and the Mahler Chamber Orchestra.</w:t>
      </w:r>
    </w:p>
    <w:p w14:paraId="6DB1B7F6" w14:textId="77777777" w:rsidR="00AE0EE6" w:rsidRDefault="00AE0EE6" w:rsidP="00486AB2">
      <w:pPr>
        <w:spacing w:line="276" w:lineRule="auto"/>
        <w:rPr>
          <w:rFonts w:ascii="Arial" w:hAnsi="Arial"/>
          <w:sz w:val="20"/>
          <w:szCs w:val="20"/>
          <w:lang w:val="en-GB"/>
        </w:rPr>
      </w:pPr>
    </w:p>
    <w:p w14:paraId="0358D10F" w14:textId="2C90E82A" w:rsidR="00AE0EE6" w:rsidRPr="00486AB2" w:rsidRDefault="00AE0EE6" w:rsidP="00486AB2">
      <w:pPr>
        <w:spacing w:line="276" w:lineRule="auto"/>
        <w:rPr>
          <w:rFonts w:ascii="Arial" w:hAnsi="Arial"/>
          <w:sz w:val="20"/>
          <w:szCs w:val="20"/>
          <w:lang w:val="en-GB"/>
        </w:rPr>
      </w:pPr>
      <w:r w:rsidRPr="007E3798">
        <w:rPr>
          <w:rFonts w:ascii="Arial" w:hAnsi="Arial"/>
          <w:sz w:val="20"/>
          <w:szCs w:val="20"/>
          <w:lang w:val="en-GB"/>
        </w:rPr>
        <w:t xml:space="preserve">The season is also marked by two major releases under Aimard’s new partnership with Alpha Classics. The first, </w:t>
      </w:r>
      <w:r w:rsidRPr="007E3798">
        <w:rPr>
          <w:rFonts w:ascii="Arial" w:hAnsi="Arial"/>
          <w:i/>
          <w:iCs/>
          <w:sz w:val="20"/>
          <w:szCs w:val="20"/>
          <w:lang w:val="en-GB"/>
        </w:rPr>
        <w:t>Schönberg: Piano Works</w:t>
      </w:r>
      <w:r w:rsidRPr="007E3798">
        <w:rPr>
          <w:rFonts w:ascii="Arial" w:hAnsi="Arial"/>
          <w:sz w:val="20"/>
          <w:szCs w:val="20"/>
          <w:lang w:val="en-GB"/>
        </w:rPr>
        <w:t xml:space="preserve">, is released in autumn 2026 and accompanied by supporting events in Vienna and Los Angeles. The second, </w:t>
      </w:r>
      <w:r w:rsidRPr="007E3798">
        <w:rPr>
          <w:rFonts w:ascii="Arial" w:hAnsi="Arial"/>
          <w:i/>
          <w:iCs/>
          <w:sz w:val="20"/>
          <w:szCs w:val="20"/>
          <w:lang w:val="en-GB"/>
        </w:rPr>
        <w:t xml:space="preserve">Beethoven </w:t>
      </w:r>
      <w:proofErr w:type="gramStart"/>
      <w:r w:rsidRPr="007E3798">
        <w:rPr>
          <w:rFonts w:ascii="Arial" w:hAnsi="Arial"/>
          <w:i/>
          <w:iCs/>
          <w:sz w:val="20"/>
          <w:szCs w:val="20"/>
          <w:lang w:val="en-GB"/>
        </w:rPr>
        <w:t>The</w:t>
      </w:r>
      <w:proofErr w:type="gramEnd"/>
      <w:r w:rsidRPr="007E3798">
        <w:rPr>
          <w:rFonts w:ascii="Arial" w:hAnsi="Arial"/>
          <w:i/>
          <w:iCs/>
          <w:sz w:val="20"/>
          <w:szCs w:val="20"/>
          <w:lang w:val="en-GB"/>
        </w:rPr>
        <w:t xml:space="preserve"> Avant-Gardist</w:t>
      </w:r>
      <w:r w:rsidRPr="007E3798">
        <w:rPr>
          <w:rFonts w:ascii="Arial" w:hAnsi="Arial"/>
          <w:sz w:val="20"/>
          <w:szCs w:val="20"/>
          <w:lang w:val="en-GB"/>
        </w:rPr>
        <w:t>, is released on the 200th anniversary of Beethoven’s death (26 March 2027)</w:t>
      </w:r>
      <w:r>
        <w:rPr>
          <w:rFonts w:ascii="Arial" w:hAnsi="Arial"/>
          <w:sz w:val="20"/>
          <w:szCs w:val="20"/>
          <w:lang w:val="en-GB"/>
        </w:rPr>
        <w:t xml:space="preserve">. </w:t>
      </w:r>
      <w:r w:rsidRPr="00AE0EE6">
        <w:rPr>
          <w:rFonts w:ascii="Arial" w:hAnsi="Arial"/>
          <w:sz w:val="20"/>
          <w:szCs w:val="20"/>
          <w:lang w:val="en-GB"/>
        </w:rPr>
        <w:t xml:space="preserve">A deeply personal tribute, the album pairs Beethoven’s solo works with music by 20th- and 21st-century composers, underscoring his radical imagination and enduring influence. The release is accompanied by an extensive recital tour, with appearances at London’s Wigmore Hall, Amsterdam’s </w:t>
      </w:r>
      <w:proofErr w:type="spellStart"/>
      <w:r w:rsidRPr="00AE0EE6">
        <w:rPr>
          <w:rFonts w:ascii="Arial" w:hAnsi="Arial"/>
          <w:sz w:val="20"/>
          <w:szCs w:val="20"/>
          <w:lang w:val="en-GB"/>
        </w:rPr>
        <w:t>Muziekgebouw</w:t>
      </w:r>
      <w:proofErr w:type="spellEnd"/>
      <w:r w:rsidRPr="00AE0EE6">
        <w:rPr>
          <w:rFonts w:ascii="Arial" w:hAnsi="Arial"/>
          <w:sz w:val="20"/>
          <w:szCs w:val="20"/>
          <w:lang w:val="en-GB"/>
        </w:rPr>
        <w:t xml:space="preserve">, the Palau de la Música Catalana, Società del Quartetto di Milano, and Madrid’s </w:t>
      </w:r>
      <w:proofErr w:type="spellStart"/>
      <w:r w:rsidRPr="00AE0EE6">
        <w:rPr>
          <w:rFonts w:ascii="Arial" w:hAnsi="Arial"/>
          <w:sz w:val="20"/>
          <w:szCs w:val="20"/>
          <w:lang w:val="en-GB"/>
        </w:rPr>
        <w:t>Auditorio</w:t>
      </w:r>
      <w:proofErr w:type="spellEnd"/>
      <w:r w:rsidRPr="00AE0EE6">
        <w:rPr>
          <w:rFonts w:ascii="Arial" w:hAnsi="Arial"/>
          <w:sz w:val="20"/>
          <w:szCs w:val="20"/>
          <w:lang w:val="en-GB"/>
        </w:rPr>
        <w:t xml:space="preserve"> Nacional de Música.</w:t>
      </w:r>
    </w:p>
    <w:p w14:paraId="2A7B7890" w14:textId="77777777" w:rsidR="00486AB2" w:rsidRDefault="00486AB2" w:rsidP="007E3798">
      <w:pPr>
        <w:spacing w:line="276" w:lineRule="auto"/>
        <w:rPr>
          <w:rFonts w:ascii="Arial" w:hAnsi="Arial"/>
          <w:sz w:val="20"/>
          <w:szCs w:val="20"/>
          <w:lang w:val="en-GB"/>
        </w:rPr>
      </w:pPr>
    </w:p>
    <w:p w14:paraId="36F5976C" w14:textId="1DD4071C" w:rsidR="00486AB2" w:rsidRDefault="00050FFE" w:rsidP="007E3798">
      <w:pPr>
        <w:spacing w:line="276" w:lineRule="auto"/>
        <w:rPr>
          <w:rFonts w:ascii="Arial" w:hAnsi="Arial"/>
          <w:sz w:val="20"/>
          <w:szCs w:val="20"/>
          <w:lang w:val="en-GB"/>
        </w:rPr>
      </w:pPr>
      <w:r w:rsidRPr="00050FFE">
        <w:rPr>
          <w:rFonts w:ascii="Arial" w:hAnsi="Arial"/>
          <w:sz w:val="20"/>
          <w:szCs w:val="20"/>
          <w:lang w:val="en-GB"/>
        </w:rPr>
        <w:t xml:space="preserve">Throughout his career, Aimard has worked closely with many of the foremost composers of our time and, this season, continues to celebrate the centenary of his longtime collaborator György Kurtág with performances in Paris and a three-concert </w:t>
      </w:r>
      <w:r>
        <w:rPr>
          <w:rFonts w:ascii="Arial" w:hAnsi="Arial"/>
          <w:sz w:val="20"/>
          <w:szCs w:val="20"/>
          <w:lang w:val="en-GB"/>
        </w:rPr>
        <w:t>takeover</w:t>
      </w:r>
      <w:r w:rsidRPr="00050FFE">
        <w:rPr>
          <w:rFonts w:ascii="Arial" w:hAnsi="Arial"/>
          <w:sz w:val="20"/>
          <w:szCs w:val="20"/>
          <w:lang w:val="en-GB"/>
        </w:rPr>
        <w:t xml:space="preserve"> at London’s Wigmore Hall. Other leading composers with whom he has collaborated include George Benjamin, Helmut Lachenmann, Elliott Carter, Harrison Birtwistle, Karlheinz Stockhausen, Marco Stroppa, György Ligeti and Olivier Messiaen.</w:t>
      </w:r>
    </w:p>
    <w:p w14:paraId="5CD66EB8" w14:textId="77777777" w:rsidR="00050FFE" w:rsidRDefault="00050FFE" w:rsidP="007E3798">
      <w:pPr>
        <w:spacing w:line="276" w:lineRule="auto"/>
        <w:rPr>
          <w:rFonts w:ascii="Arial" w:hAnsi="Arial"/>
          <w:sz w:val="20"/>
          <w:szCs w:val="20"/>
          <w:lang w:val="en-GB"/>
        </w:rPr>
      </w:pPr>
    </w:p>
    <w:p w14:paraId="63660867" w14:textId="7EEE27C3" w:rsidR="00486AB2" w:rsidRDefault="00486AB2" w:rsidP="007E3798">
      <w:pPr>
        <w:spacing w:line="276" w:lineRule="auto"/>
        <w:rPr>
          <w:rFonts w:ascii="Arial" w:hAnsi="Arial"/>
          <w:sz w:val="20"/>
          <w:szCs w:val="20"/>
          <w:lang w:val="en-GB"/>
        </w:rPr>
      </w:pPr>
      <w:r w:rsidRPr="00486AB2">
        <w:rPr>
          <w:rFonts w:ascii="Arial" w:hAnsi="Arial"/>
          <w:sz w:val="20"/>
          <w:szCs w:val="20"/>
          <w:lang w:val="en-GB"/>
        </w:rPr>
        <w:t xml:space="preserve">In 2025, Aimard released </w:t>
      </w:r>
      <w:r w:rsidRPr="00486AB2">
        <w:rPr>
          <w:rFonts w:ascii="Arial" w:hAnsi="Arial"/>
          <w:i/>
          <w:iCs/>
          <w:sz w:val="20"/>
          <w:szCs w:val="20"/>
          <w:lang w:val="en-GB"/>
        </w:rPr>
        <w:t xml:space="preserve">Kurtág: </w:t>
      </w:r>
      <w:proofErr w:type="spellStart"/>
      <w:r w:rsidRPr="00486AB2">
        <w:rPr>
          <w:rFonts w:ascii="Arial" w:hAnsi="Arial"/>
          <w:i/>
          <w:iCs/>
          <w:sz w:val="20"/>
          <w:szCs w:val="20"/>
          <w:lang w:val="en-GB"/>
        </w:rPr>
        <w:t>Játékok</w:t>
      </w:r>
      <w:proofErr w:type="spellEnd"/>
      <w:r w:rsidRPr="00486AB2">
        <w:rPr>
          <w:rFonts w:ascii="Arial" w:hAnsi="Arial"/>
          <w:sz w:val="20"/>
          <w:szCs w:val="20"/>
          <w:lang w:val="en-GB"/>
        </w:rPr>
        <w:t xml:space="preserve">. The latest in a series of critically acclaimed collaborations with </w:t>
      </w:r>
      <w:proofErr w:type="spellStart"/>
      <w:r w:rsidRPr="00486AB2">
        <w:rPr>
          <w:rFonts w:ascii="Arial" w:hAnsi="Arial"/>
          <w:sz w:val="20"/>
          <w:szCs w:val="20"/>
          <w:lang w:val="en-GB"/>
        </w:rPr>
        <w:t>Pentatone</w:t>
      </w:r>
      <w:proofErr w:type="spellEnd"/>
      <w:r w:rsidRPr="00486AB2">
        <w:rPr>
          <w:rFonts w:ascii="Arial" w:hAnsi="Arial"/>
          <w:sz w:val="20"/>
          <w:szCs w:val="20"/>
          <w:lang w:val="en-GB"/>
        </w:rPr>
        <w:t xml:space="preserve">, the recording was awarded five stars by </w:t>
      </w:r>
      <w:r w:rsidRPr="00486AB2">
        <w:rPr>
          <w:rFonts w:ascii="Arial" w:hAnsi="Arial"/>
          <w:i/>
          <w:iCs/>
          <w:sz w:val="20"/>
          <w:szCs w:val="20"/>
          <w:lang w:val="en-GB"/>
        </w:rPr>
        <w:t>BBC Music Magazine</w:t>
      </w:r>
      <w:r w:rsidRPr="00486AB2">
        <w:rPr>
          <w:rFonts w:ascii="Arial" w:hAnsi="Arial"/>
          <w:sz w:val="20"/>
          <w:szCs w:val="20"/>
          <w:lang w:val="en-GB"/>
        </w:rPr>
        <w:t xml:space="preserve">. Earlier releases for the label include </w:t>
      </w:r>
      <w:r w:rsidRPr="00486AB2">
        <w:rPr>
          <w:rFonts w:ascii="Arial" w:hAnsi="Arial"/>
          <w:i/>
          <w:iCs/>
          <w:sz w:val="20"/>
          <w:szCs w:val="20"/>
          <w:lang w:val="en-GB"/>
        </w:rPr>
        <w:t>Schubert: Ländler</w:t>
      </w:r>
      <w:r w:rsidRPr="00486AB2">
        <w:rPr>
          <w:rFonts w:ascii="Arial" w:hAnsi="Arial"/>
          <w:sz w:val="20"/>
          <w:szCs w:val="20"/>
          <w:lang w:val="en-GB"/>
        </w:rPr>
        <w:t xml:space="preserve"> (2024), the complete </w:t>
      </w:r>
      <w:r w:rsidRPr="00486AB2">
        <w:rPr>
          <w:rFonts w:ascii="Arial" w:hAnsi="Arial"/>
          <w:i/>
          <w:iCs/>
          <w:sz w:val="20"/>
          <w:szCs w:val="20"/>
          <w:lang w:val="en-GB"/>
        </w:rPr>
        <w:t>Bartók Piano Concertos</w:t>
      </w:r>
      <w:r w:rsidRPr="00486AB2">
        <w:rPr>
          <w:rFonts w:ascii="Arial" w:hAnsi="Arial"/>
          <w:sz w:val="20"/>
          <w:szCs w:val="20"/>
          <w:lang w:val="en-GB"/>
        </w:rPr>
        <w:t xml:space="preserve"> with Esa-Pekka Salonen and San Francisco Symphony Orchestra (2023), and Beethoven’s </w:t>
      </w:r>
      <w:proofErr w:type="spellStart"/>
      <w:r w:rsidRPr="00486AB2">
        <w:rPr>
          <w:rFonts w:ascii="Arial" w:hAnsi="Arial"/>
          <w:i/>
          <w:iCs/>
          <w:sz w:val="20"/>
          <w:szCs w:val="20"/>
          <w:lang w:val="en-GB"/>
        </w:rPr>
        <w:t>Hammerklavier</w:t>
      </w:r>
      <w:proofErr w:type="spellEnd"/>
      <w:r w:rsidRPr="00486AB2">
        <w:rPr>
          <w:rFonts w:ascii="Arial" w:hAnsi="Arial"/>
          <w:i/>
          <w:iCs/>
          <w:sz w:val="20"/>
          <w:szCs w:val="20"/>
          <w:lang w:val="en-GB"/>
        </w:rPr>
        <w:t xml:space="preserve"> Sonata</w:t>
      </w:r>
      <w:r w:rsidRPr="00486AB2">
        <w:rPr>
          <w:rFonts w:ascii="Arial" w:hAnsi="Arial"/>
          <w:sz w:val="20"/>
          <w:szCs w:val="20"/>
          <w:lang w:val="en-GB"/>
        </w:rPr>
        <w:t xml:space="preserve"> and </w:t>
      </w:r>
      <w:r w:rsidRPr="00486AB2">
        <w:rPr>
          <w:rFonts w:ascii="Arial" w:hAnsi="Arial"/>
          <w:i/>
          <w:iCs/>
          <w:sz w:val="20"/>
          <w:szCs w:val="20"/>
          <w:lang w:val="en-GB"/>
        </w:rPr>
        <w:t>Eroica Variations</w:t>
      </w:r>
      <w:r w:rsidRPr="00486AB2">
        <w:rPr>
          <w:rFonts w:ascii="Arial" w:hAnsi="Arial"/>
          <w:sz w:val="20"/>
          <w:szCs w:val="20"/>
          <w:lang w:val="en-GB"/>
        </w:rPr>
        <w:t xml:space="preserve"> (2021).</w:t>
      </w:r>
    </w:p>
    <w:p w14:paraId="633E7FDF" w14:textId="77777777" w:rsidR="00486AB2" w:rsidRDefault="00486AB2" w:rsidP="007E3798">
      <w:pPr>
        <w:spacing w:line="276" w:lineRule="auto"/>
        <w:rPr>
          <w:rFonts w:ascii="Arial" w:hAnsi="Arial"/>
          <w:sz w:val="20"/>
          <w:szCs w:val="20"/>
          <w:lang w:val="en-GB"/>
        </w:rPr>
      </w:pPr>
    </w:p>
    <w:p w14:paraId="2B9AF457" w14:textId="3F5194A5" w:rsidR="00486AB2" w:rsidRPr="007E3798" w:rsidRDefault="00486AB2" w:rsidP="007E3798">
      <w:pPr>
        <w:spacing w:line="276" w:lineRule="auto"/>
        <w:rPr>
          <w:rFonts w:ascii="Arial" w:hAnsi="Arial"/>
          <w:sz w:val="20"/>
          <w:szCs w:val="20"/>
          <w:lang w:val="en-GB"/>
        </w:rPr>
      </w:pPr>
      <w:r w:rsidRPr="00486AB2">
        <w:rPr>
          <w:rFonts w:ascii="Arial" w:hAnsi="Arial"/>
          <w:sz w:val="20"/>
          <w:szCs w:val="20"/>
          <w:lang w:val="en-GB"/>
        </w:rPr>
        <w:lastRenderedPageBreak/>
        <w:t xml:space="preserve">The recipient of numerous awards, Aimard was honoured with the prestigious International Ernst von Siemens Music Prize in 2017 in recognition of a life devoted to the service of music, and with the Léonie Sonning Music Prize, Denmark’s most prestigious music award, in 2022. A member of the Bayerische Akademie der </w:t>
      </w:r>
      <w:proofErr w:type="spellStart"/>
      <w:r w:rsidRPr="00486AB2">
        <w:rPr>
          <w:rFonts w:ascii="Arial" w:hAnsi="Arial"/>
          <w:sz w:val="20"/>
          <w:szCs w:val="20"/>
          <w:lang w:val="en-GB"/>
        </w:rPr>
        <w:t>Schönen</w:t>
      </w:r>
      <w:proofErr w:type="spellEnd"/>
      <w:r w:rsidRPr="00486AB2">
        <w:rPr>
          <w:rFonts w:ascii="Arial" w:hAnsi="Arial"/>
          <w:sz w:val="20"/>
          <w:szCs w:val="20"/>
          <w:lang w:val="en-GB"/>
        </w:rPr>
        <w:t xml:space="preserve"> Künste, he has held professorships at Hochschule Köln and was previously Associate Professor at the Collège de France in Paris. In spring 2020, he relaunched </w:t>
      </w:r>
      <w:r w:rsidRPr="00486AB2">
        <w:rPr>
          <w:rFonts w:ascii="Arial" w:hAnsi="Arial"/>
          <w:i/>
          <w:iCs/>
          <w:sz w:val="20"/>
          <w:szCs w:val="20"/>
          <w:lang w:val="en-GB"/>
        </w:rPr>
        <w:t>Explore the Score</w:t>
      </w:r>
      <w:r w:rsidRPr="00486AB2">
        <w:rPr>
          <w:rFonts w:ascii="Arial" w:hAnsi="Arial"/>
          <w:sz w:val="20"/>
          <w:szCs w:val="20"/>
          <w:lang w:val="en-GB"/>
        </w:rPr>
        <w:t>, a major online resource developed in collaboration with Klavier-Festival Ruhr and centred on the performance and teaching of Ligeti’s piano music.</w:t>
      </w:r>
    </w:p>
    <w:p w14:paraId="2CC19D62" w14:textId="77777777" w:rsidR="007E3798" w:rsidRDefault="007E3798" w:rsidP="007E3798">
      <w:pPr>
        <w:spacing w:line="276" w:lineRule="auto"/>
        <w:rPr>
          <w:rFonts w:ascii="Arial" w:hAnsi="Arial"/>
          <w:sz w:val="20"/>
          <w:szCs w:val="20"/>
          <w:lang w:val="en-GB"/>
        </w:rPr>
      </w:pPr>
    </w:p>
    <w:p w14:paraId="06D60DC2" w14:textId="77777777" w:rsidR="00486AB2" w:rsidRPr="000E0B7F" w:rsidRDefault="00486AB2" w:rsidP="00486AB2">
      <w:pPr>
        <w:rPr>
          <w:rFonts w:ascii="Arial" w:hAnsi="Arial"/>
          <w:sz w:val="20"/>
          <w:szCs w:val="20"/>
          <w:lang w:val="en-GB"/>
        </w:rPr>
      </w:pPr>
    </w:p>
    <w:p w14:paraId="5CDA8D69" w14:textId="77777777" w:rsidR="00486AB2" w:rsidRPr="000E0B7F" w:rsidRDefault="00486AB2" w:rsidP="00486AB2">
      <w:pPr>
        <w:rPr>
          <w:rFonts w:ascii="Arial" w:hAnsi="Arial"/>
          <w:sz w:val="20"/>
          <w:szCs w:val="20"/>
          <w:lang w:val="en-GB"/>
        </w:rPr>
      </w:pPr>
    </w:p>
    <w:p w14:paraId="476FEF5A" w14:textId="77777777" w:rsidR="00486AB2" w:rsidRDefault="00486AB2" w:rsidP="00486AB2">
      <w:pPr>
        <w:rPr>
          <w:rFonts w:ascii="Arial" w:hAnsi="Arial"/>
          <w:sz w:val="20"/>
          <w:szCs w:val="20"/>
          <w:lang w:val="fr-FR"/>
        </w:rPr>
      </w:pPr>
      <w:hyperlink r:id="rId9" w:history="1">
        <w:r w:rsidRPr="00244A69">
          <w:rPr>
            <w:rStyle w:val="Hyperlink"/>
            <w:rFonts w:ascii="Arial" w:hAnsi="Arial"/>
            <w:sz w:val="20"/>
            <w:szCs w:val="20"/>
            <w:lang w:val="fr-FR"/>
          </w:rPr>
          <w:t>pierrelaurentaimard.com</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6"/>
        <w:gridCol w:w="567"/>
        <w:gridCol w:w="1116"/>
        <w:gridCol w:w="636"/>
        <w:gridCol w:w="567"/>
        <w:gridCol w:w="567"/>
        <w:gridCol w:w="567"/>
        <w:gridCol w:w="567"/>
        <w:gridCol w:w="567"/>
        <w:gridCol w:w="567"/>
      </w:tblGrid>
      <w:tr w:rsidR="00486AB2" w:rsidRPr="002B654E" w14:paraId="31CEC234" w14:textId="77777777" w:rsidTr="00BC3CA5">
        <w:trPr>
          <w:trHeight w:val="20"/>
        </w:trPr>
        <w:tc>
          <w:tcPr>
            <w:tcW w:w="576" w:type="dxa"/>
          </w:tcPr>
          <w:p w14:paraId="2C3E335A"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r>
              <w:rPr>
                <w:rFonts w:ascii="Arial" w:eastAsia="Arial" w:hAnsi="Arial" w:cs="Arial"/>
                <w:noProof/>
                <w:sz w:val="40"/>
                <w:szCs w:val="40"/>
              </w:rPr>
              <w:drawing>
                <wp:anchor distT="57150" distB="57150" distL="57150" distR="57150" simplePos="0" relativeHeight="251659264" behindDoc="0" locked="0" layoutInCell="1" allowOverlap="1" wp14:anchorId="7E299947" wp14:editId="1CEA3819">
                  <wp:simplePos x="0" y="0"/>
                  <wp:positionH relativeFrom="column">
                    <wp:posOffset>-635</wp:posOffset>
                  </wp:positionH>
                  <wp:positionV relativeFrom="line">
                    <wp:posOffset>205740</wp:posOffset>
                  </wp:positionV>
                  <wp:extent cx="228600" cy="228600"/>
                  <wp:effectExtent l="0" t="0" r="0" b="0"/>
                  <wp:wrapThrough wrapText="bothSides" distL="57150" distR="57150">
                    <wp:wrapPolygon edited="1">
                      <wp:start x="970" y="0"/>
                      <wp:lineTo x="20883" y="84"/>
                      <wp:lineTo x="21431" y="548"/>
                      <wp:lineTo x="21600" y="970"/>
                      <wp:lineTo x="21516" y="20883"/>
                      <wp:lineTo x="21052" y="21431"/>
                      <wp:lineTo x="20630" y="21600"/>
                      <wp:lineTo x="717" y="21516"/>
                      <wp:lineTo x="169" y="21052"/>
                      <wp:lineTo x="0" y="20630"/>
                      <wp:lineTo x="84" y="717"/>
                      <wp:lineTo x="548" y="169"/>
                      <wp:lineTo x="970" y="0"/>
                    </wp:wrapPolygon>
                  </wp:wrapThrough>
                  <wp:docPr id="513395683" name="officeArt object" descr="FB-f-Logo__blue_512">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513395683" name="officeArt object" descr="FB-f-Logo__blue_512">
                            <a:hlinkClick r:id="rId10"/>
                          </pic:cNvPr>
                          <pic:cNvPicPr>
                            <a:picLocks noChangeAspect="1"/>
                          </pic:cNvPicPr>
                        </pic:nvPicPr>
                        <pic:blipFill>
                          <a:blip r:embed="rId11"/>
                          <a:stretch>
                            <a:fillRect/>
                          </a:stretch>
                        </pic:blipFill>
                        <pic:spPr>
                          <a:xfrm>
                            <a:off x="0" y="0"/>
                            <a:ext cx="228600" cy="228600"/>
                          </a:xfrm>
                          <a:prstGeom prst="rect">
                            <a:avLst/>
                          </a:prstGeom>
                          <a:ln w="12700" cap="flat">
                            <a:noFill/>
                            <a:miter lim="400000"/>
                          </a:ln>
                          <a:effectLst/>
                        </pic:spPr>
                      </pic:pic>
                    </a:graphicData>
                  </a:graphic>
                </wp:anchor>
              </w:drawing>
            </w:r>
          </w:p>
        </w:tc>
        <w:tc>
          <w:tcPr>
            <w:tcW w:w="567" w:type="dxa"/>
          </w:tcPr>
          <w:p w14:paraId="6944CD7F"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r>
              <w:rPr>
                <w:rFonts w:ascii="Arial" w:eastAsia="Arial" w:hAnsi="Arial" w:cs="Arial"/>
                <w:noProof/>
                <w:sz w:val="40"/>
                <w:szCs w:val="40"/>
              </w:rPr>
              <w:drawing>
                <wp:anchor distT="57150" distB="57150" distL="57150" distR="57150" simplePos="0" relativeHeight="251660288" behindDoc="0" locked="0" layoutInCell="1" allowOverlap="1" wp14:anchorId="6076E1EF" wp14:editId="4BC67945">
                  <wp:simplePos x="0" y="0"/>
                  <wp:positionH relativeFrom="column">
                    <wp:posOffset>-3810</wp:posOffset>
                  </wp:positionH>
                  <wp:positionV relativeFrom="line">
                    <wp:posOffset>205740</wp:posOffset>
                  </wp:positionV>
                  <wp:extent cx="236855" cy="236855"/>
                  <wp:effectExtent l="0" t="0" r="0" b="0"/>
                  <wp:wrapThrough wrapText="bothSides" distL="57150" distR="57150">
                    <wp:wrapPolygon edited="1">
                      <wp:start x="5358" y="0"/>
                      <wp:lineTo x="17044" y="42"/>
                      <wp:lineTo x="18309" y="274"/>
                      <wp:lineTo x="19259" y="696"/>
                      <wp:lineTo x="20060" y="1287"/>
                      <wp:lineTo x="20693" y="2004"/>
                      <wp:lineTo x="21199" y="2932"/>
                      <wp:lineTo x="21495" y="4029"/>
                      <wp:lineTo x="21600" y="5358"/>
                      <wp:lineTo x="21558" y="17044"/>
                      <wp:lineTo x="21347" y="18225"/>
                      <wp:lineTo x="20967" y="19153"/>
                      <wp:lineTo x="20355" y="20018"/>
                      <wp:lineTo x="19659" y="20651"/>
                      <wp:lineTo x="18773" y="21157"/>
                      <wp:lineTo x="17698" y="21473"/>
                      <wp:lineTo x="16221" y="21600"/>
                      <wp:lineTo x="4556" y="21558"/>
                      <wp:lineTo x="3375" y="21347"/>
                      <wp:lineTo x="2447" y="20967"/>
                      <wp:lineTo x="1582" y="20355"/>
                      <wp:lineTo x="949" y="19659"/>
                      <wp:lineTo x="443" y="18773"/>
                      <wp:lineTo x="127" y="17698"/>
                      <wp:lineTo x="0" y="16242"/>
                      <wp:lineTo x="42" y="4556"/>
                      <wp:lineTo x="253" y="3375"/>
                      <wp:lineTo x="633" y="2447"/>
                      <wp:lineTo x="1245" y="1582"/>
                      <wp:lineTo x="1941" y="949"/>
                      <wp:lineTo x="2827" y="443"/>
                      <wp:lineTo x="3902" y="127"/>
                      <wp:lineTo x="5358" y="0"/>
                    </wp:wrapPolygon>
                  </wp:wrapThrough>
                  <wp:docPr id="1227517233" name="officeArt object" descr="Instagram-v051916">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227517233" name="officeArt object" descr="Instagram-v051916">
                            <a:hlinkClick r:id="rId12"/>
                          </pic:cNvPr>
                          <pic:cNvPicPr>
                            <a:picLocks noChangeAspect="1"/>
                          </pic:cNvPicPr>
                        </pic:nvPicPr>
                        <pic:blipFill>
                          <a:blip r:embed="rId13"/>
                          <a:stretch>
                            <a:fillRect/>
                          </a:stretch>
                        </pic:blipFill>
                        <pic:spPr>
                          <a:xfrm>
                            <a:off x="0" y="0"/>
                            <a:ext cx="236855" cy="236855"/>
                          </a:xfrm>
                          <a:prstGeom prst="rect">
                            <a:avLst/>
                          </a:prstGeom>
                          <a:ln w="12700" cap="flat">
                            <a:noFill/>
                            <a:miter lim="400000"/>
                          </a:ln>
                          <a:effectLst/>
                        </pic:spPr>
                      </pic:pic>
                    </a:graphicData>
                  </a:graphic>
                </wp:anchor>
              </w:drawing>
            </w:r>
          </w:p>
        </w:tc>
        <w:tc>
          <w:tcPr>
            <w:tcW w:w="1116" w:type="dxa"/>
          </w:tcPr>
          <w:p w14:paraId="0F8C7E1F"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r>
              <w:rPr>
                <w:rFonts w:ascii="Arial" w:eastAsia="Arial" w:hAnsi="Arial" w:cs="Arial"/>
                <w:noProof/>
                <w:sz w:val="40"/>
                <w:szCs w:val="40"/>
              </w:rPr>
              <w:drawing>
                <wp:anchor distT="57150" distB="57150" distL="57150" distR="57150" simplePos="0" relativeHeight="251661312" behindDoc="0" locked="0" layoutInCell="1" allowOverlap="1" wp14:anchorId="1827380A" wp14:editId="339DA7A8">
                  <wp:simplePos x="0" y="0"/>
                  <wp:positionH relativeFrom="column">
                    <wp:posOffset>-1905</wp:posOffset>
                  </wp:positionH>
                  <wp:positionV relativeFrom="line">
                    <wp:posOffset>205740</wp:posOffset>
                  </wp:positionV>
                  <wp:extent cx="571500" cy="234950"/>
                  <wp:effectExtent l="0" t="0" r="0" b="0"/>
                  <wp:wrapThrough wrapText="bothSides" distL="57150" distR="57150">
                    <wp:wrapPolygon edited="1">
                      <wp:start x="0" y="0"/>
                      <wp:lineTo x="21600" y="0"/>
                      <wp:lineTo x="21600" y="21600"/>
                      <wp:lineTo x="0" y="21600"/>
                      <wp:lineTo x="0" y="0"/>
                    </wp:wrapPolygon>
                  </wp:wrapThrough>
                  <wp:docPr id="483824039" name="officeArt object" descr="Description: Macintosh HD:Users:annablaseby:Downloads:YouTube logo.jpg">
                    <a:hlinkClick xmlns:a="http://schemas.openxmlformats.org/drawingml/2006/main" r:id="rId14"/>
                  </wp:docPr>
                  <wp:cNvGraphicFramePr/>
                  <a:graphic xmlns:a="http://schemas.openxmlformats.org/drawingml/2006/main">
                    <a:graphicData uri="http://schemas.openxmlformats.org/drawingml/2006/picture">
                      <pic:pic xmlns:pic="http://schemas.openxmlformats.org/drawingml/2006/picture">
                        <pic:nvPicPr>
                          <pic:cNvPr id="483824039" name="officeArt object" descr="Description: Macintosh HD:Users:annablaseby:Downloads:YouTube logo.jpg">
                            <a:hlinkClick r:id="rId14"/>
                          </pic:cNvPr>
                          <pic:cNvPicPr>
                            <a:picLocks noChangeAspect="1"/>
                          </pic:cNvPicPr>
                        </pic:nvPicPr>
                        <pic:blipFill>
                          <a:blip r:embed="rId15"/>
                          <a:stretch>
                            <a:fillRect/>
                          </a:stretch>
                        </pic:blipFill>
                        <pic:spPr>
                          <a:xfrm>
                            <a:off x="0" y="0"/>
                            <a:ext cx="571500" cy="234950"/>
                          </a:xfrm>
                          <a:prstGeom prst="rect">
                            <a:avLst/>
                          </a:prstGeom>
                          <a:ln w="12700" cap="flat">
                            <a:noFill/>
                            <a:miter lim="400000"/>
                          </a:ln>
                          <a:effectLst/>
                        </pic:spPr>
                      </pic:pic>
                    </a:graphicData>
                  </a:graphic>
                </wp:anchor>
              </w:drawing>
            </w:r>
          </w:p>
        </w:tc>
        <w:tc>
          <w:tcPr>
            <w:tcW w:w="636" w:type="dxa"/>
          </w:tcPr>
          <w:p w14:paraId="1BCF1DD7"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r>
              <w:rPr>
                <w:rFonts w:ascii="Arial" w:eastAsia="Arial" w:hAnsi="Arial" w:cs="Arial"/>
                <w:noProof/>
                <w:sz w:val="40"/>
                <w:szCs w:val="40"/>
              </w:rPr>
              <w:drawing>
                <wp:anchor distT="57150" distB="57150" distL="57150" distR="57150" simplePos="0" relativeHeight="251662336" behindDoc="0" locked="0" layoutInCell="1" allowOverlap="1" wp14:anchorId="4235B192" wp14:editId="20EA0A34">
                  <wp:simplePos x="0" y="0"/>
                  <wp:positionH relativeFrom="column">
                    <wp:posOffset>-1905</wp:posOffset>
                  </wp:positionH>
                  <wp:positionV relativeFrom="line">
                    <wp:posOffset>205740</wp:posOffset>
                  </wp:positionV>
                  <wp:extent cx="261621" cy="228600"/>
                  <wp:effectExtent l="0" t="0" r="5080" b="0"/>
                  <wp:wrapThrough wrapText="bothSides" distL="57150" distR="57150">
                    <wp:wrapPolygon edited="1">
                      <wp:start x="9142" y="225"/>
                      <wp:lineTo x="7340" y="675"/>
                      <wp:lineTo x="5079" y="1838"/>
                      <wp:lineTo x="3211" y="3600"/>
                      <wp:lineTo x="1671" y="5963"/>
                      <wp:lineTo x="721" y="8888"/>
                      <wp:lineTo x="524" y="12263"/>
                      <wp:lineTo x="950" y="14738"/>
                      <wp:lineTo x="2064" y="17400"/>
                      <wp:lineTo x="3670" y="19538"/>
                      <wp:lineTo x="5800" y="21225"/>
                      <wp:lineTo x="6750" y="21600"/>
                      <wp:lineTo x="13795" y="21600"/>
                      <wp:lineTo x="15695" y="20550"/>
                      <wp:lineTo x="17629" y="18563"/>
                      <wp:lineTo x="18972" y="16238"/>
                      <wp:lineTo x="19791" y="13425"/>
                      <wp:lineTo x="19922" y="10050"/>
                      <wp:lineTo x="19595" y="8213"/>
                      <wp:lineTo x="18579" y="5513"/>
                      <wp:lineTo x="16973" y="3225"/>
                      <wp:lineTo x="14712" y="1388"/>
                      <wp:lineTo x="12157" y="375"/>
                      <wp:lineTo x="10223" y="278"/>
                      <wp:lineTo x="10223" y="6150"/>
                      <wp:lineTo x="10977" y="6150"/>
                      <wp:lineTo x="14221" y="6900"/>
                      <wp:lineTo x="16908" y="8213"/>
                      <wp:lineTo x="17367" y="8888"/>
                      <wp:lineTo x="17170" y="9825"/>
                      <wp:lineTo x="16318" y="10200"/>
                      <wp:lineTo x="14778" y="9338"/>
                      <wp:lineTo x="11763" y="8363"/>
                      <wp:lineTo x="9765" y="8255"/>
                      <wp:lineTo x="9765" y="9975"/>
                      <wp:lineTo x="10420" y="9975"/>
                      <wp:lineTo x="13238" y="10725"/>
                      <wp:lineTo x="15630" y="11963"/>
                      <wp:lineTo x="15990" y="12638"/>
                      <wp:lineTo x="15695" y="13425"/>
                      <wp:lineTo x="14975" y="13575"/>
                      <wp:lineTo x="14155" y="12975"/>
                      <wp:lineTo x="11239" y="11888"/>
                      <wp:lineTo x="9502" y="11725"/>
                      <wp:lineTo x="9502" y="13575"/>
                      <wp:lineTo x="11894" y="13950"/>
                      <wp:lineTo x="14319" y="15113"/>
                      <wp:lineTo x="14712" y="15713"/>
                      <wp:lineTo x="14581" y="16350"/>
                      <wp:lineTo x="13959" y="16500"/>
                      <wp:lineTo x="13238" y="16013"/>
                      <wp:lineTo x="10682" y="15038"/>
                      <wp:lineTo x="7700" y="14888"/>
                      <wp:lineTo x="4882" y="15338"/>
                      <wp:lineTo x="4620" y="14813"/>
                      <wp:lineTo x="4751" y="14175"/>
                      <wp:lineTo x="6619" y="13650"/>
                      <wp:lineTo x="9502" y="13575"/>
                      <wp:lineTo x="9502" y="11725"/>
                      <wp:lineTo x="8028" y="11588"/>
                      <wp:lineTo x="4620" y="12188"/>
                      <wp:lineTo x="4194" y="11588"/>
                      <wp:lineTo x="4358" y="10725"/>
                      <wp:lineTo x="6357" y="10050"/>
                      <wp:lineTo x="9765" y="9975"/>
                      <wp:lineTo x="9765" y="8255"/>
                      <wp:lineTo x="7569" y="8138"/>
                      <wp:lineTo x="4227" y="8813"/>
                      <wp:lineTo x="3670" y="8363"/>
                      <wp:lineTo x="3539" y="7425"/>
                      <wp:lineTo x="3801" y="6975"/>
                      <wp:lineTo x="6160" y="6225"/>
                      <wp:lineTo x="10223" y="6150"/>
                      <wp:lineTo x="10223" y="278"/>
                      <wp:lineTo x="9142" y="225"/>
                    </wp:wrapPolygon>
                  </wp:wrapThrough>
                  <wp:docPr id="770437583" name="officeArt object" descr="Description: Macintosh HD:Users:annablaseby:Downloads:spotify_logo_cmyk_green1.png">
                    <a:hlinkClick xmlns:a="http://schemas.openxmlformats.org/drawingml/2006/main" r:id="rId16"/>
                  </wp:docPr>
                  <wp:cNvGraphicFramePr/>
                  <a:graphic xmlns:a="http://schemas.openxmlformats.org/drawingml/2006/main">
                    <a:graphicData uri="http://schemas.openxmlformats.org/drawingml/2006/picture">
                      <pic:pic xmlns:pic="http://schemas.openxmlformats.org/drawingml/2006/picture">
                        <pic:nvPicPr>
                          <pic:cNvPr id="770437583" name="officeArt object" descr="Description: Macintosh HD:Users:annablaseby:Downloads:spotify_logo_cmyk_green1.png">
                            <a:hlinkClick r:id="rId16"/>
                          </pic:cNvPr>
                          <pic:cNvPicPr>
                            <a:picLocks noChangeAspect="1"/>
                          </pic:cNvPicPr>
                        </pic:nvPicPr>
                        <pic:blipFill>
                          <a:blip r:embed="rId17"/>
                          <a:srcRect r="67185" b="4255"/>
                          <a:stretch>
                            <a:fillRect/>
                          </a:stretch>
                        </pic:blipFill>
                        <pic:spPr>
                          <a:xfrm>
                            <a:off x="0" y="0"/>
                            <a:ext cx="261621" cy="228600"/>
                          </a:xfrm>
                          <a:prstGeom prst="rect">
                            <a:avLst/>
                          </a:prstGeom>
                          <a:ln w="12700" cap="flat">
                            <a:noFill/>
                            <a:miter lim="400000"/>
                          </a:ln>
                          <a:effectLst/>
                        </pic:spPr>
                      </pic:pic>
                    </a:graphicData>
                  </a:graphic>
                </wp:anchor>
              </w:drawing>
            </w:r>
          </w:p>
        </w:tc>
        <w:tc>
          <w:tcPr>
            <w:tcW w:w="567" w:type="dxa"/>
          </w:tcPr>
          <w:p w14:paraId="73B88BE2"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p>
        </w:tc>
        <w:tc>
          <w:tcPr>
            <w:tcW w:w="567" w:type="dxa"/>
          </w:tcPr>
          <w:p w14:paraId="09DB4196"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p>
        </w:tc>
        <w:tc>
          <w:tcPr>
            <w:tcW w:w="567" w:type="dxa"/>
          </w:tcPr>
          <w:p w14:paraId="3B6FBAEF"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p>
        </w:tc>
        <w:tc>
          <w:tcPr>
            <w:tcW w:w="567" w:type="dxa"/>
          </w:tcPr>
          <w:p w14:paraId="48633971"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p>
        </w:tc>
        <w:tc>
          <w:tcPr>
            <w:tcW w:w="567" w:type="dxa"/>
          </w:tcPr>
          <w:p w14:paraId="219F7CFE"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p>
        </w:tc>
        <w:tc>
          <w:tcPr>
            <w:tcW w:w="567" w:type="dxa"/>
          </w:tcPr>
          <w:p w14:paraId="7E8AE70C" w14:textId="77777777" w:rsidR="00486AB2" w:rsidRDefault="00486AB2" w:rsidP="00BC3C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sz w:val="20"/>
                <w:szCs w:val="20"/>
                <w:lang w:val="fr-FR"/>
              </w:rPr>
            </w:pPr>
          </w:p>
        </w:tc>
      </w:tr>
    </w:tbl>
    <w:p w14:paraId="5383EADD" w14:textId="75A1AE6B" w:rsidR="00486AB2" w:rsidRPr="00486AB2" w:rsidRDefault="00486AB2" w:rsidP="00486AB2">
      <w:pPr>
        <w:jc w:val="both"/>
        <w:rPr>
          <w:rFonts w:ascii="Calibri" w:eastAsia="Calibri" w:hAnsi="Calibri" w:cs="Calibri"/>
          <w:color w:val="333333"/>
          <w:u w:color="333333"/>
          <w:shd w:val="clear" w:color="auto" w:fill="FFFFFF"/>
          <w:lang w:val="fr-FR"/>
        </w:rPr>
      </w:pPr>
      <w:r w:rsidRPr="002B654E">
        <w:rPr>
          <w:rFonts w:ascii="Calibri" w:eastAsia="Calibri" w:hAnsi="Calibri" w:cs="Calibri"/>
          <w:color w:val="333333"/>
          <w:shd w:val="clear" w:color="auto" w:fill="FFFFFF"/>
          <w:lang w:val="fr-FR"/>
        </w:rPr>
        <w:t xml:space="preserve"> </w:t>
      </w:r>
    </w:p>
    <w:sectPr w:rsidR="00486AB2" w:rsidRPr="00486AB2">
      <w:headerReference w:type="even" r:id="rId18"/>
      <w:headerReference w:type="default" r:id="rId19"/>
      <w:footerReference w:type="even" r:id="rId20"/>
      <w:footerReference w:type="default" r:id="rId21"/>
      <w:headerReference w:type="first" r:id="rId22"/>
      <w:footerReference w:type="first" r:id="rId23"/>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CA260" w14:textId="77777777" w:rsidR="00D50832" w:rsidRDefault="00D50832">
      <w:r>
        <w:separator/>
      </w:r>
    </w:p>
  </w:endnote>
  <w:endnote w:type="continuationSeparator" w:id="0">
    <w:p w14:paraId="5EE94DCC" w14:textId="77777777" w:rsidR="00D50832" w:rsidRDefault="00D5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HarrisonParrott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EAC0E" w14:textId="77777777" w:rsidR="00D50832" w:rsidRDefault="00D50832">
      <w:r>
        <w:separator/>
      </w:r>
    </w:p>
  </w:footnote>
  <w:footnote w:type="continuationSeparator" w:id="0">
    <w:p w14:paraId="1AF5265B" w14:textId="77777777" w:rsidR="00D50832" w:rsidRDefault="00D5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0FFE"/>
    <w:rsid w:val="000802CA"/>
    <w:rsid w:val="00195DB5"/>
    <w:rsid w:val="001F64D1"/>
    <w:rsid w:val="00256D84"/>
    <w:rsid w:val="002926CE"/>
    <w:rsid w:val="003959F3"/>
    <w:rsid w:val="00486AB2"/>
    <w:rsid w:val="00614AF3"/>
    <w:rsid w:val="007E3798"/>
    <w:rsid w:val="00A17798"/>
    <w:rsid w:val="00A70E90"/>
    <w:rsid w:val="00AA369D"/>
    <w:rsid w:val="00AD2958"/>
    <w:rsid w:val="00AE0206"/>
    <w:rsid w:val="00AE0EE6"/>
    <w:rsid w:val="00BF1F26"/>
    <w:rsid w:val="00CE77C7"/>
    <w:rsid w:val="00D50832"/>
    <w:rsid w:val="00D92F1A"/>
    <w:rsid w:val="00DA6AB9"/>
    <w:rsid w:val="00EC09EE"/>
    <w:rsid w:val="00F3654F"/>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table" w:styleId="TableGrid">
    <w:name w:val="Table Grid"/>
    <w:basedOn w:val="TableNormal"/>
    <w:uiPriority w:val="39"/>
    <w:rsid w:val="00486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instagram.com/pierrelaurentaimard/"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pen.spotify.com/artist/0wy0KtAlsZ59mEgtmEju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footer" Target="footer3.xml"/><Relationship Id="rId10" Type="http://schemas.openxmlformats.org/officeDocument/2006/relationships/hyperlink" Target="https://www.facebook.com/pierrelaurentaimard"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pierrelaurentaimard.com/" TargetMode="External"/><Relationship Id="rId14" Type="http://schemas.openxmlformats.org/officeDocument/2006/relationships/hyperlink" Target="https://www.youtube.com/results?search_query=pierre+laurent+aimard"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Lucía Camacho Acevedo</cp:lastModifiedBy>
  <cp:revision>7</cp:revision>
  <dcterms:created xsi:type="dcterms:W3CDTF">2023-06-01T10:32:00Z</dcterms:created>
  <dcterms:modified xsi:type="dcterms:W3CDTF">2026-09-07T16:09:00Z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